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6334" w14:textId="77777777" w:rsidR="00660C8A" w:rsidRPr="00660C8A" w:rsidRDefault="00660C8A" w:rsidP="00660C8A">
      <w:pPr>
        <w:spacing w:after="200" w:line="247" w:lineRule="auto"/>
        <w:rPr>
          <w:rFonts w:asciiTheme="majorBidi" w:hAnsiTheme="majorBidi" w:cstheme="majorBidi"/>
        </w:rPr>
      </w:pPr>
    </w:p>
    <w:p w14:paraId="709C58C1" w14:textId="77777777" w:rsidR="00A3420F" w:rsidRDefault="009E0CEB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C75745">
        <w:rPr>
          <w:rFonts w:asciiTheme="majorBidi" w:hAnsiTheme="majorBidi" w:cstheme="majorBidi"/>
          <w:b/>
          <w:bCs/>
          <w:i/>
          <w:iCs/>
        </w:rPr>
        <w:t xml:space="preserve">Please submit a </w:t>
      </w:r>
      <w:r w:rsidRPr="00C75745">
        <w:rPr>
          <w:rFonts w:asciiTheme="majorBidi" w:hAnsiTheme="majorBidi" w:cstheme="majorBidi"/>
          <w:b/>
          <w:bCs/>
          <w:i/>
          <w:iCs/>
          <w:u w:val="single"/>
        </w:rPr>
        <w:t>separate</w:t>
      </w:r>
      <w:r w:rsidRPr="00C75745">
        <w:rPr>
          <w:rFonts w:asciiTheme="majorBidi" w:hAnsiTheme="majorBidi" w:cstheme="majorBidi"/>
          <w:b/>
          <w:bCs/>
          <w:i/>
          <w:iCs/>
        </w:rPr>
        <w:t xml:space="preserve"> </w:t>
      </w:r>
      <w:r w:rsidR="007C79FA" w:rsidRPr="00C75745">
        <w:rPr>
          <w:rFonts w:asciiTheme="majorBidi" w:hAnsiTheme="majorBidi" w:cstheme="majorBidi"/>
          <w:b/>
          <w:bCs/>
          <w:i/>
          <w:iCs/>
        </w:rPr>
        <w:t>comment</w:t>
      </w:r>
      <w:r w:rsidRPr="00C75745">
        <w:rPr>
          <w:rFonts w:asciiTheme="majorBidi" w:hAnsiTheme="majorBidi" w:cstheme="majorBidi"/>
          <w:b/>
          <w:bCs/>
          <w:i/>
          <w:iCs/>
        </w:rPr>
        <w:t xml:space="preserve"> for each proposed </w:t>
      </w:r>
      <w:r w:rsidR="007C79FA" w:rsidRPr="00C75745">
        <w:rPr>
          <w:rFonts w:asciiTheme="majorBidi" w:hAnsiTheme="majorBidi" w:cstheme="majorBidi"/>
          <w:b/>
          <w:bCs/>
          <w:i/>
          <w:iCs/>
        </w:rPr>
        <w:t>class</w:t>
      </w:r>
      <w:r w:rsidRPr="00C75745">
        <w:rPr>
          <w:rFonts w:asciiTheme="majorBidi" w:hAnsiTheme="majorBidi" w:cstheme="majorBidi"/>
          <w:b/>
          <w:bCs/>
          <w:i/>
          <w:iCs/>
        </w:rPr>
        <w:t>.</w:t>
      </w:r>
    </w:p>
    <w:p w14:paraId="2CCE510D" w14:textId="6A84A1E8" w:rsidR="00A3420F" w:rsidRDefault="00E47017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C75745">
        <w:rPr>
          <w:rFonts w:asciiTheme="majorBidi" w:hAnsiTheme="majorBidi" w:cstheme="majorBidi"/>
          <w:b/>
          <w:bCs/>
          <w:i/>
          <w:iCs/>
        </w:rPr>
        <w:t>NOTE: This form must be used in all three rounds of</w:t>
      </w:r>
      <w:r w:rsidR="00660C8A" w:rsidRPr="00C75745">
        <w:rPr>
          <w:rFonts w:asciiTheme="majorBidi" w:hAnsiTheme="majorBidi" w:cstheme="majorBidi"/>
          <w:b/>
          <w:bCs/>
          <w:i/>
          <w:iCs/>
        </w:rPr>
        <w:t xml:space="preserve"> comments by all commenters not</w:t>
      </w:r>
      <w:r w:rsidR="00A3420F">
        <w:rPr>
          <w:rFonts w:asciiTheme="majorBidi" w:hAnsiTheme="majorBidi" w:cstheme="majorBidi"/>
          <w:b/>
          <w:bCs/>
          <w:i/>
          <w:iCs/>
        </w:rPr>
        <w:t xml:space="preserve"> </w:t>
      </w:r>
      <w:r w:rsidRPr="00C75745">
        <w:rPr>
          <w:rFonts w:asciiTheme="majorBidi" w:hAnsiTheme="majorBidi" w:cstheme="majorBidi"/>
          <w:b/>
          <w:bCs/>
          <w:i/>
          <w:iCs/>
        </w:rPr>
        <w:t>submittin</w:t>
      </w:r>
      <w:r w:rsidR="00660C8A" w:rsidRPr="00C75745">
        <w:rPr>
          <w:rFonts w:asciiTheme="majorBidi" w:hAnsiTheme="majorBidi" w:cstheme="majorBidi"/>
          <w:b/>
          <w:bCs/>
          <w:i/>
          <w:iCs/>
        </w:rPr>
        <w:t xml:space="preserve">g short-form comments directly </w:t>
      </w:r>
      <w:r w:rsidRPr="00C75745">
        <w:rPr>
          <w:rFonts w:asciiTheme="majorBidi" w:hAnsiTheme="majorBidi" w:cstheme="majorBidi"/>
          <w:b/>
          <w:bCs/>
          <w:i/>
          <w:iCs/>
        </w:rPr>
        <w:t xml:space="preserve">through </w:t>
      </w:r>
      <w:r w:rsidR="007C5FAB">
        <w:rPr>
          <w:rFonts w:asciiTheme="majorBidi" w:hAnsiTheme="majorBidi" w:cstheme="majorBidi"/>
          <w:b/>
          <w:bCs/>
          <w:i/>
          <w:iCs/>
        </w:rPr>
        <w:t>R</w:t>
      </w:r>
      <w:r w:rsidRPr="00C75745">
        <w:rPr>
          <w:rFonts w:asciiTheme="majorBidi" w:hAnsiTheme="majorBidi" w:cstheme="majorBidi"/>
          <w:b/>
          <w:bCs/>
          <w:i/>
          <w:iCs/>
        </w:rPr>
        <w:t>egulat</w:t>
      </w:r>
      <w:r w:rsidR="00660C8A" w:rsidRPr="00C75745">
        <w:rPr>
          <w:rFonts w:asciiTheme="majorBidi" w:hAnsiTheme="majorBidi" w:cstheme="majorBidi"/>
          <w:b/>
          <w:bCs/>
          <w:i/>
          <w:iCs/>
        </w:rPr>
        <w:t xml:space="preserve">ions.gov, whether the commenter </w:t>
      </w:r>
      <w:r w:rsidR="00A3420F">
        <w:rPr>
          <w:rFonts w:asciiTheme="majorBidi" w:hAnsiTheme="majorBidi" w:cstheme="majorBidi"/>
          <w:b/>
          <w:bCs/>
          <w:i/>
          <w:iCs/>
        </w:rPr>
        <w:t xml:space="preserve">is </w:t>
      </w:r>
      <w:r w:rsidRPr="00C75745">
        <w:rPr>
          <w:rFonts w:asciiTheme="majorBidi" w:hAnsiTheme="majorBidi" w:cstheme="majorBidi"/>
          <w:b/>
          <w:bCs/>
          <w:i/>
          <w:iCs/>
        </w:rPr>
        <w:t>supporting, opposing, or merely providing</w:t>
      </w:r>
      <w:r w:rsidR="007B618D">
        <w:rPr>
          <w:rFonts w:asciiTheme="majorBidi" w:hAnsiTheme="majorBidi" w:cstheme="majorBidi"/>
          <w:b/>
          <w:bCs/>
          <w:i/>
          <w:iCs/>
        </w:rPr>
        <w:t xml:space="preserve"> pertinent information about a </w:t>
      </w:r>
      <w:r w:rsidRPr="00C75745">
        <w:rPr>
          <w:rFonts w:asciiTheme="majorBidi" w:hAnsiTheme="majorBidi" w:cstheme="majorBidi"/>
          <w:b/>
          <w:bCs/>
          <w:i/>
          <w:iCs/>
        </w:rPr>
        <w:t>proposed exemption.</w:t>
      </w:r>
    </w:p>
    <w:p w14:paraId="6E0C6228" w14:textId="77777777" w:rsidR="00A3420F" w:rsidRDefault="00E47017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C75745">
        <w:rPr>
          <w:rFonts w:asciiTheme="majorBidi" w:hAnsiTheme="majorBidi" w:cstheme="majorBidi"/>
          <w:b/>
          <w:bCs/>
          <w:i/>
          <w:iCs/>
        </w:rPr>
        <w:t>When commenting on a proposed expansion to an existing exemption, you should focus your comments only on those issues relev</w:t>
      </w:r>
      <w:r w:rsidR="00A3420F">
        <w:rPr>
          <w:rFonts w:asciiTheme="majorBidi" w:hAnsiTheme="majorBidi" w:cstheme="majorBidi"/>
          <w:b/>
          <w:bCs/>
          <w:i/>
          <w:iCs/>
        </w:rPr>
        <w:t xml:space="preserve">ant to the proposed expansion. </w:t>
      </w:r>
    </w:p>
    <w:p w14:paraId="3C6F30DF" w14:textId="5C4C14E3" w:rsidR="00A3420F" w:rsidRDefault="00E47017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660C8A">
        <w:rPr>
          <w:rFonts w:asciiTheme="majorBidi" w:hAnsiTheme="majorBidi" w:cstheme="majorBidi"/>
          <w:b/>
          <w:bCs/>
        </w:rPr>
        <w:t>[</w:t>
      </w:r>
      <w:r w:rsidR="00083A11" w:rsidRPr="00660C8A">
        <w:rPr>
          <w:rFonts w:asciiTheme="majorBidi" w:hAnsiTheme="majorBidi" w:cstheme="majorBidi"/>
          <w:b/>
          <w:bCs/>
        </w:rPr>
        <w:t xml:space="preserve"> </w:t>
      </w:r>
      <w:proofErr w:type="gramStart"/>
      <w:r w:rsidR="00083A11" w:rsidRPr="00660C8A">
        <w:rPr>
          <w:rFonts w:asciiTheme="majorBidi" w:hAnsiTheme="majorBidi" w:cstheme="majorBidi"/>
          <w:b/>
          <w:bCs/>
        </w:rPr>
        <w:t xml:space="preserve"> </w:t>
      </w:r>
      <w:r w:rsidR="00803D1D" w:rsidRPr="00660C8A">
        <w:rPr>
          <w:rFonts w:asciiTheme="majorBidi" w:hAnsiTheme="majorBidi" w:cstheme="majorBidi"/>
          <w:b/>
          <w:bCs/>
        </w:rPr>
        <w:t xml:space="preserve"> </w:t>
      </w:r>
      <w:r w:rsidRPr="00660C8A">
        <w:rPr>
          <w:rFonts w:asciiTheme="majorBidi" w:hAnsiTheme="majorBidi" w:cstheme="majorBidi"/>
          <w:b/>
          <w:bCs/>
        </w:rPr>
        <w:t>]</w:t>
      </w:r>
      <w:proofErr w:type="gramEnd"/>
      <w:r w:rsidR="00803D1D" w:rsidRPr="00660C8A">
        <w:rPr>
          <w:rFonts w:asciiTheme="majorBidi" w:hAnsiTheme="majorBidi" w:cstheme="majorBidi"/>
          <w:b/>
          <w:bCs/>
        </w:rPr>
        <w:t xml:space="preserve"> </w:t>
      </w:r>
      <w:r w:rsidRPr="00660C8A">
        <w:rPr>
          <w:rFonts w:asciiTheme="majorBidi" w:hAnsiTheme="majorBidi" w:cstheme="majorBidi"/>
          <w:b/>
          <w:bCs/>
        </w:rPr>
        <w:t>Check here if multimedia evidence is being provided in connection with this comment</w:t>
      </w:r>
      <w:r w:rsidR="005337DE">
        <w:rPr>
          <w:rFonts w:asciiTheme="majorBidi" w:hAnsiTheme="majorBidi" w:cstheme="majorBidi"/>
          <w:b/>
          <w:bCs/>
        </w:rPr>
        <w:t>.</w:t>
      </w:r>
    </w:p>
    <w:p w14:paraId="658BBAF2" w14:textId="7FE05952" w:rsidR="00A3420F" w:rsidRDefault="00E47017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C75745">
        <w:rPr>
          <w:rFonts w:asciiTheme="majorBidi" w:hAnsiTheme="majorBidi" w:cstheme="majorBidi"/>
          <w:i/>
          <w:iCs/>
        </w:rPr>
        <w:t>Commenters can provide relevant multimedia evidence to suppo</w:t>
      </w:r>
      <w:r w:rsidR="00A3420F">
        <w:rPr>
          <w:rFonts w:asciiTheme="majorBidi" w:hAnsiTheme="majorBidi" w:cstheme="majorBidi"/>
          <w:i/>
          <w:iCs/>
        </w:rPr>
        <w:t xml:space="preserve">rt their arguments. Please note </w:t>
      </w:r>
      <w:r w:rsidRPr="00C75745">
        <w:rPr>
          <w:rFonts w:asciiTheme="majorBidi" w:hAnsiTheme="majorBidi" w:cstheme="majorBidi"/>
          <w:i/>
          <w:iCs/>
        </w:rPr>
        <w:t>that such evidence must be separately submitted in conformity wit</w:t>
      </w:r>
      <w:r w:rsidR="00A3420F">
        <w:rPr>
          <w:rFonts w:asciiTheme="majorBidi" w:hAnsiTheme="majorBidi" w:cstheme="majorBidi"/>
          <w:i/>
          <w:iCs/>
        </w:rPr>
        <w:t xml:space="preserve">h the Office’s instructions for </w:t>
      </w:r>
      <w:r w:rsidRPr="00C75745">
        <w:rPr>
          <w:rFonts w:asciiTheme="majorBidi" w:hAnsiTheme="majorBidi" w:cstheme="majorBidi"/>
          <w:i/>
          <w:iCs/>
        </w:rPr>
        <w:t xml:space="preserve">submitting multimedia evidence, available on </w:t>
      </w:r>
      <w:r w:rsidR="00A3420F">
        <w:rPr>
          <w:rFonts w:asciiTheme="majorBidi" w:hAnsiTheme="majorBidi" w:cstheme="majorBidi"/>
          <w:i/>
          <w:iCs/>
        </w:rPr>
        <w:t xml:space="preserve">the Copyright Office website at </w:t>
      </w:r>
      <w:hyperlink r:id="rId8" w:history="1">
        <w:r w:rsidR="007C5FAB" w:rsidRPr="007C5FAB">
          <w:rPr>
            <w:rStyle w:val="Hyperlink"/>
            <w:rFonts w:asciiTheme="majorBidi" w:hAnsiTheme="majorBidi" w:cstheme="majorBidi"/>
            <w:i/>
            <w:iCs/>
          </w:rPr>
          <w:t>copyright.gov/1201/2024</w:t>
        </w:r>
      </w:hyperlink>
      <w:r w:rsidRPr="00C75745">
        <w:rPr>
          <w:rFonts w:asciiTheme="majorBidi" w:hAnsiTheme="majorBidi" w:cstheme="majorBidi"/>
          <w:i/>
          <w:iCs/>
        </w:rPr>
        <w:t>.</w:t>
      </w:r>
    </w:p>
    <w:p w14:paraId="1866940A" w14:textId="2BCEC421" w:rsidR="00A3420F" w:rsidRDefault="00073B1D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smallCaps/>
        </w:rPr>
        <w:t xml:space="preserve">Item A.  </w:t>
      </w:r>
      <w:r w:rsidR="00E47017" w:rsidRPr="00660C8A">
        <w:rPr>
          <w:rFonts w:asciiTheme="majorBidi" w:hAnsiTheme="majorBidi" w:cstheme="majorBidi"/>
          <w:b/>
          <w:smallCaps/>
        </w:rPr>
        <w:t xml:space="preserve">Commenter Information </w:t>
      </w:r>
    </w:p>
    <w:p w14:paraId="50B64F9F" w14:textId="6505F390" w:rsidR="00A3420F" w:rsidRDefault="00E47017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660C8A">
        <w:rPr>
          <w:rFonts w:asciiTheme="majorBidi" w:hAnsiTheme="majorBidi" w:cstheme="majorBidi"/>
          <w:i/>
          <w:iCs/>
        </w:rPr>
        <w:t xml:space="preserve">Identify the commenter and provide </w:t>
      </w:r>
      <w:r w:rsidR="00407AEB">
        <w:rPr>
          <w:rFonts w:asciiTheme="majorBidi" w:hAnsiTheme="majorBidi" w:cstheme="majorBidi"/>
          <w:i/>
          <w:iCs/>
        </w:rPr>
        <w:t>contact information for the</w:t>
      </w:r>
      <w:r w:rsidRPr="00660C8A">
        <w:rPr>
          <w:rFonts w:asciiTheme="majorBidi" w:hAnsiTheme="majorBidi" w:cstheme="majorBidi"/>
          <w:i/>
          <w:iCs/>
        </w:rPr>
        <w:t xml:space="preserve"> c</w:t>
      </w:r>
      <w:r w:rsidR="00A3420F">
        <w:rPr>
          <w:rFonts w:asciiTheme="majorBidi" w:hAnsiTheme="majorBidi" w:cstheme="majorBidi"/>
          <w:i/>
          <w:iCs/>
        </w:rPr>
        <w:t xml:space="preserve">ommenter and/or the commenter’s </w:t>
      </w:r>
      <w:r w:rsidRPr="00660C8A">
        <w:rPr>
          <w:rFonts w:asciiTheme="majorBidi" w:hAnsiTheme="majorBidi" w:cstheme="majorBidi"/>
          <w:i/>
          <w:iCs/>
        </w:rPr>
        <w:t>representatives, if any.</w:t>
      </w:r>
    </w:p>
    <w:p w14:paraId="247C17BC" w14:textId="642163EC" w:rsidR="00A3420F" w:rsidRDefault="00073B1D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smallCaps/>
        </w:rPr>
        <w:t xml:space="preserve">Item B.  </w:t>
      </w:r>
      <w:r w:rsidR="00E47017" w:rsidRPr="00660C8A">
        <w:rPr>
          <w:rFonts w:asciiTheme="majorBidi" w:hAnsiTheme="majorBidi" w:cstheme="majorBidi"/>
          <w:b/>
          <w:smallCaps/>
        </w:rPr>
        <w:t>Proposed Class Addressed</w:t>
      </w:r>
    </w:p>
    <w:p w14:paraId="35C47969" w14:textId="6EC12EA3" w:rsidR="00A3420F" w:rsidRDefault="00E47017" w:rsidP="00A70CF1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660C8A">
        <w:rPr>
          <w:rFonts w:asciiTheme="majorBidi" w:hAnsiTheme="majorBidi" w:cstheme="majorBidi"/>
          <w:i/>
          <w:iCs/>
        </w:rPr>
        <w:t>Identify the proposed exemption that the comment addresse</w:t>
      </w:r>
      <w:r w:rsidR="00A3420F">
        <w:rPr>
          <w:rFonts w:asciiTheme="majorBidi" w:hAnsiTheme="majorBidi" w:cstheme="majorBidi"/>
          <w:i/>
          <w:iCs/>
        </w:rPr>
        <w:t xml:space="preserve">s by the number and name of the </w:t>
      </w:r>
      <w:r w:rsidRPr="00660C8A">
        <w:rPr>
          <w:rFonts w:asciiTheme="majorBidi" w:hAnsiTheme="majorBidi" w:cstheme="majorBidi"/>
          <w:i/>
          <w:iCs/>
        </w:rPr>
        <w:t xml:space="preserve">class set forth in the </w:t>
      </w:r>
      <w:r w:rsidR="007C5FAB">
        <w:rPr>
          <w:rFonts w:asciiTheme="majorBidi" w:hAnsiTheme="majorBidi" w:cstheme="majorBidi"/>
          <w:i/>
          <w:iCs/>
        </w:rPr>
        <w:t>n</w:t>
      </w:r>
      <w:r w:rsidRPr="00660C8A">
        <w:rPr>
          <w:rFonts w:asciiTheme="majorBidi" w:hAnsiTheme="majorBidi" w:cstheme="majorBidi"/>
          <w:i/>
          <w:iCs/>
        </w:rPr>
        <w:t xml:space="preserve">otice of </w:t>
      </w:r>
      <w:r w:rsidR="007C5FAB">
        <w:rPr>
          <w:rFonts w:asciiTheme="majorBidi" w:hAnsiTheme="majorBidi" w:cstheme="majorBidi"/>
          <w:i/>
          <w:iCs/>
        </w:rPr>
        <w:t>p</w:t>
      </w:r>
      <w:r w:rsidRPr="00660C8A">
        <w:rPr>
          <w:rFonts w:asciiTheme="majorBidi" w:hAnsiTheme="majorBidi" w:cstheme="majorBidi"/>
          <w:i/>
          <w:iCs/>
        </w:rPr>
        <w:t xml:space="preserve">roposed </w:t>
      </w:r>
      <w:r w:rsidR="007C5FAB">
        <w:rPr>
          <w:rFonts w:asciiTheme="majorBidi" w:hAnsiTheme="majorBidi" w:cstheme="majorBidi"/>
          <w:i/>
          <w:iCs/>
        </w:rPr>
        <w:t>r</w:t>
      </w:r>
      <w:r w:rsidRPr="00660C8A">
        <w:rPr>
          <w:rFonts w:asciiTheme="majorBidi" w:hAnsiTheme="majorBidi" w:cstheme="majorBidi"/>
          <w:i/>
          <w:iCs/>
        </w:rPr>
        <w:t>ulemaking (</w:t>
      </w:r>
      <w:r w:rsidR="007C5FAB">
        <w:rPr>
          <w:rFonts w:asciiTheme="majorBidi" w:hAnsiTheme="majorBidi" w:cstheme="majorBidi"/>
          <w:i/>
          <w:iCs/>
        </w:rPr>
        <w:t>for example</w:t>
      </w:r>
      <w:r w:rsidRPr="003D6D0B">
        <w:rPr>
          <w:rFonts w:asciiTheme="majorBidi" w:hAnsiTheme="majorBidi" w:cstheme="majorBidi"/>
        </w:rPr>
        <w:t>,</w:t>
      </w:r>
      <w:r w:rsidR="00A3420F">
        <w:rPr>
          <w:rFonts w:asciiTheme="majorBidi" w:hAnsiTheme="majorBidi" w:cstheme="majorBidi"/>
          <w:i/>
          <w:iCs/>
        </w:rPr>
        <w:t xml:space="preserve"> “</w:t>
      </w:r>
      <w:r w:rsidR="00A70CF1" w:rsidRPr="00A70CF1">
        <w:rPr>
          <w:rFonts w:asciiTheme="majorBidi" w:hAnsiTheme="majorBidi" w:cstheme="majorBidi"/>
          <w:i/>
          <w:iCs/>
        </w:rPr>
        <w:t>Proposed Class 1: Audiovisual Works—</w:t>
      </w:r>
      <w:r w:rsidR="00407AEB">
        <w:rPr>
          <w:rFonts w:asciiTheme="majorBidi" w:hAnsiTheme="majorBidi" w:cstheme="majorBidi"/>
          <w:i/>
          <w:iCs/>
        </w:rPr>
        <w:t>Noncommercial Videos</w:t>
      </w:r>
      <w:r w:rsidRPr="00660C8A">
        <w:rPr>
          <w:rFonts w:asciiTheme="majorBidi" w:hAnsiTheme="majorBidi" w:cstheme="majorBidi"/>
          <w:i/>
          <w:iCs/>
        </w:rPr>
        <w:t>”).</w:t>
      </w:r>
    </w:p>
    <w:p w14:paraId="24C56E59" w14:textId="0F555750" w:rsidR="00A3420F" w:rsidRDefault="00073B1D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smallCaps/>
        </w:rPr>
        <w:t xml:space="preserve">Item C.  </w:t>
      </w:r>
      <w:r w:rsidR="00E47017" w:rsidRPr="00660C8A">
        <w:rPr>
          <w:rFonts w:asciiTheme="majorBidi" w:hAnsiTheme="majorBidi" w:cstheme="majorBidi"/>
          <w:b/>
          <w:smallCaps/>
        </w:rPr>
        <w:t>Overview</w:t>
      </w:r>
    </w:p>
    <w:p w14:paraId="61200274" w14:textId="77777777" w:rsidR="00A3420F" w:rsidRDefault="00E47017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660C8A">
        <w:rPr>
          <w:rFonts w:asciiTheme="majorBidi" w:hAnsiTheme="majorBidi" w:cstheme="majorBidi"/>
          <w:i/>
          <w:iCs/>
        </w:rPr>
        <w:t>Provide a brief summary of the circumvention activity sough</w:t>
      </w:r>
      <w:r w:rsidR="00A3420F">
        <w:rPr>
          <w:rFonts w:asciiTheme="majorBidi" w:hAnsiTheme="majorBidi" w:cstheme="majorBidi"/>
          <w:i/>
          <w:iCs/>
        </w:rPr>
        <w:t xml:space="preserve">t to be exempted or opposed and </w:t>
      </w:r>
      <w:r w:rsidRPr="00660C8A">
        <w:rPr>
          <w:rFonts w:asciiTheme="majorBidi" w:hAnsiTheme="majorBidi" w:cstheme="majorBidi"/>
          <w:i/>
          <w:iCs/>
        </w:rPr>
        <w:t>why.</w:t>
      </w:r>
    </w:p>
    <w:p w14:paraId="4A2698A2" w14:textId="3580FA04" w:rsidR="00A3420F" w:rsidRDefault="00073B1D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smallCaps/>
        </w:rPr>
        <w:t xml:space="preserve">Item D.  </w:t>
      </w:r>
      <w:r w:rsidR="00E47017" w:rsidRPr="00660C8A">
        <w:rPr>
          <w:rFonts w:asciiTheme="majorBidi" w:hAnsiTheme="majorBidi" w:cstheme="majorBidi"/>
          <w:b/>
          <w:smallCaps/>
        </w:rPr>
        <w:t>Technological Protection Measure(s) and Method(s) of Circumvention</w:t>
      </w:r>
    </w:p>
    <w:p w14:paraId="1468CB78" w14:textId="2E9EDBBE" w:rsidR="00EC68F0" w:rsidRDefault="00E47017" w:rsidP="0045138A">
      <w:pPr>
        <w:spacing w:after="200" w:line="247" w:lineRule="auto"/>
        <w:rPr>
          <w:rFonts w:asciiTheme="majorBidi" w:hAnsiTheme="majorBidi" w:cstheme="majorBidi"/>
          <w:i/>
          <w:iCs/>
        </w:rPr>
      </w:pPr>
      <w:r w:rsidRPr="00660C8A">
        <w:rPr>
          <w:rFonts w:asciiTheme="majorBidi" w:hAnsiTheme="majorBidi" w:cstheme="majorBidi"/>
          <w:i/>
          <w:iCs/>
        </w:rPr>
        <w:t xml:space="preserve">Describe the </w:t>
      </w:r>
      <w:r w:rsidR="0045138A">
        <w:rPr>
          <w:rFonts w:asciiTheme="majorBidi" w:hAnsiTheme="majorBidi" w:cstheme="majorBidi"/>
          <w:i/>
          <w:iCs/>
        </w:rPr>
        <w:t>technological protection measure(s)</w:t>
      </w:r>
      <w:r w:rsidRPr="00660C8A">
        <w:rPr>
          <w:rFonts w:asciiTheme="majorBidi" w:hAnsiTheme="majorBidi" w:cstheme="majorBidi"/>
          <w:i/>
          <w:iCs/>
        </w:rPr>
        <w:t xml:space="preserve"> that control access to the wor</w:t>
      </w:r>
      <w:r w:rsidR="00A3420F">
        <w:rPr>
          <w:rFonts w:asciiTheme="majorBidi" w:hAnsiTheme="majorBidi" w:cstheme="majorBidi"/>
          <w:i/>
          <w:iCs/>
        </w:rPr>
        <w:t xml:space="preserve">k and the relevant method(s) of </w:t>
      </w:r>
      <w:r w:rsidRPr="00660C8A">
        <w:rPr>
          <w:rFonts w:asciiTheme="majorBidi" w:hAnsiTheme="majorBidi" w:cstheme="majorBidi"/>
          <w:i/>
          <w:iCs/>
        </w:rPr>
        <w:t>circumvention. It would be most helpful to the Office if sufficient i</w:t>
      </w:r>
      <w:r w:rsidR="00A3420F">
        <w:rPr>
          <w:rFonts w:asciiTheme="majorBidi" w:hAnsiTheme="majorBidi" w:cstheme="majorBidi"/>
          <w:i/>
          <w:iCs/>
        </w:rPr>
        <w:t xml:space="preserve">nformation is provided to allow </w:t>
      </w:r>
      <w:r w:rsidRPr="00660C8A">
        <w:rPr>
          <w:rFonts w:asciiTheme="majorBidi" w:hAnsiTheme="majorBidi" w:cstheme="majorBidi"/>
          <w:i/>
          <w:iCs/>
        </w:rPr>
        <w:t>the Office to understand the nature and basic operation of the re</w:t>
      </w:r>
      <w:r w:rsidR="00A3420F">
        <w:rPr>
          <w:rFonts w:asciiTheme="majorBidi" w:hAnsiTheme="majorBidi" w:cstheme="majorBidi"/>
          <w:i/>
          <w:iCs/>
        </w:rPr>
        <w:t xml:space="preserve">levant technologies, as well as </w:t>
      </w:r>
      <w:r w:rsidRPr="00660C8A">
        <w:rPr>
          <w:rFonts w:asciiTheme="majorBidi" w:hAnsiTheme="majorBidi" w:cstheme="majorBidi"/>
          <w:i/>
          <w:iCs/>
        </w:rPr>
        <w:t>how they are disabled or bypassed</w:t>
      </w:r>
      <w:r w:rsidR="00803D1D" w:rsidRPr="00660C8A">
        <w:rPr>
          <w:rFonts w:asciiTheme="majorBidi" w:hAnsiTheme="majorBidi" w:cstheme="majorBidi"/>
          <w:i/>
          <w:iCs/>
        </w:rPr>
        <w:t>.</w:t>
      </w:r>
    </w:p>
    <w:p w14:paraId="52FDF4C4" w14:textId="05329A32" w:rsidR="00A3420F" w:rsidRDefault="00073B1D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>
        <w:rPr>
          <w:rFonts w:asciiTheme="majorBidi" w:hAnsiTheme="majorBidi" w:cstheme="majorBidi"/>
          <w:b/>
          <w:smallCaps/>
        </w:rPr>
        <w:lastRenderedPageBreak/>
        <w:t xml:space="preserve">Item E.  </w:t>
      </w:r>
      <w:r w:rsidR="00803D1D" w:rsidRPr="00660C8A">
        <w:rPr>
          <w:rFonts w:asciiTheme="majorBidi" w:hAnsiTheme="majorBidi" w:cstheme="majorBidi"/>
          <w:b/>
          <w:smallCaps/>
        </w:rPr>
        <w:t>Asserted Adverse</w:t>
      </w:r>
      <w:r w:rsidR="00C614D2">
        <w:rPr>
          <w:rFonts w:asciiTheme="majorBidi" w:hAnsiTheme="majorBidi" w:cstheme="majorBidi"/>
          <w:b/>
          <w:smallCaps/>
        </w:rPr>
        <w:t xml:space="preserve"> Effects on </w:t>
      </w:r>
      <w:proofErr w:type="spellStart"/>
      <w:r w:rsidR="00C614D2">
        <w:rPr>
          <w:rFonts w:asciiTheme="majorBidi" w:hAnsiTheme="majorBidi" w:cstheme="majorBidi"/>
          <w:b/>
          <w:smallCaps/>
        </w:rPr>
        <w:t>Noninfringing</w:t>
      </w:r>
      <w:proofErr w:type="spellEnd"/>
      <w:r w:rsidR="00C614D2">
        <w:rPr>
          <w:rFonts w:asciiTheme="majorBidi" w:hAnsiTheme="majorBidi" w:cstheme="majorBidi"/>
          <w:b/>
          <w:smallCaps/>
        </w:rPr>
        <w:t xml:space="preserve"> Uses</w:t>
      </w:r>
      <w:r w:rsidR="00803D1D" w:rsidRPr="00660C8A">
        <w:rPr>
          <w:rFonts w:asciiTheme="majorBidi" w:hAnsiTheme="majorBidi" w:cstheme="majorBidi"/>
          <w:b/>
          <w:smallCaps/>
        </w:rPr>
        <w:t xml:space="preserve"> </w:t>
      </w:r>
    </w:p>
    <w:p w14:paraId="559C87C8" w14:textId="6C6E7605" w:rsidR="00803D1D" w:rsidRPr="00A3420F" w:rsidRDefault="00803D1D" w:rsidP="00A3420F">
      <w:pPr>
        <w:spacing w:after="200" w:line="247" w:lineRule="auto"/>
        <w:rPr>
          <w:rFonts w:asciiTheme="majorBidi" w:hAnsiTheme="majorBidi" w:cstheme="majorBidi"/>
          <w:b/>
          <w:bCs/>
          <w:i/>
          <w:iCs/>
        </w:rPr>
      </w:pPr>
      <w:r w:rsidRPr="00660C8A">
        <w:rPr>
          <w:rFonts w:asciiTheme="majorBidi" w:hAnsiTheme="majorBidi" w:cstheme="majorBidi"/>
          <w:i/>
          <w:iCs/>
        </w:rPr>
        <w:t>Comments should be directed at answering the following question: Are users of a copy</w:t>
      </w:r>
      <w:r w:rsidR="00A3420F">
        <w:rPr>
          <w:rFonts w:asciiTheme="majorBidi" w:hAnsiTheme="majorBidi" w:cstheme="majorBidi"/>
          <w:i/>
          <w:iCs/>
        </w:rPr>
        <w:t xml:space="preserve">righted </w:t>
      </w:r>
      <w:r w:rsidRPr="00660C8A">
        <w:rPr>
          <w:rFonts w:asciiTheme="majorBidi" w:hAnsiTheme="majorBidi" w:cstheme="majorBidi"/>
          <w:i/>
          <w:iCs/>
        </w:rPr>
        <w:t>work adversely affected by the prohibition on circumv</w:t>
      </w:r>
      <w:r w:rsidR="00A3420F">
        <w:rPr>
          <w:rFonts w:asciiTheme="majorBidi" w:hAnsiTheme="majorBidi" w:cstheme="majorBidi"/>
          <w:i/>
          <w:iCs/>
        </w:rPr>
        <w:t xml:space="preserve">ention in their ability to make </w:t>
      </w:r>
      <w:proofErr w:type="spellStart"/>
      <w:r w:rsidRPr="00660C8A">
        <w:rPr>
          <w:rFonts w:asciiTheme="majorBidi" w:hAnsiTheme="majorBidi" w:cstheme="majorBidi"/>
          <w:i/>
          <w:iCs/>
        </w:rPr>
        <w:t>noninfringing</w:t>
      </w:r>
      <w:proofErr w:type="spellEnd"/>
      <w:r w:rsidRPr="00660C8A">
        <w:rPr>
          <w:rFonts w:asciiTheme="majorBidi" w:hAnsiTheme="majorBidi" w:cstheme="majorBidi"/>
          <w:i/>
          <w:iCs/>
        </w:rPr>
        <w:t xml:space="preserve"> uses of a class of copyrighted works, or</w:t>
      </w:r>
      <w:r w:rsidR="00407AEB">
        <w:rPr>
          <w:rFonts w:asciiTheme="majorBidi" w:hAnsiTheme="majorBidi" w:cstheme="majorBidi"/>
          <w:i/>
          <w:iCs/>
        </w:rPr>
        <w:t xml:space="preserve"> are users</w:t>
      </w:r>
      <w:r w:rsidRPr="00660C8A">
        <w:rPr>
          <w:rFonts w:asciiTheme="majorBidi" w:hAnsiTheme="majorBidi" w:cstheme="majorBidi"/>
          <w:i/>
          <w:iCs/>
        </w:rPr>
        <w:t xml:space="preserve"> likely to </w:t>
      </w:r>
      <w:r w:rsidR="00A3420F">
        <w:rPr>
          <w:rFonts w:asciiTheme="majorBidi" w:hAnsiTheme="majorBidi" w:cstheme="majorBidi"/>
          <w:i/>
          <w:iCs/>
        </w:rPr>
        <w:t xml:space="preserve">be so adversely affected in the </w:t>
      </w:r>
      <w:r w:rsidRPr="00660C8A">
        <w:rPr>
          <w:rFonts w:asciiTheme="majorBidi" w:hAnsiTheme="majorBidi" w:cstheme="majorBidi"/>
          <w:i/>
          <w:iCs/>
        </w:rPr>
        <w:t>next three years? Commenters are encouraged to focus on the following elements:</w:t>
      </w:r>
    </w:p>
    <w:p w14:paraId="56BE538C" w14:textId="51BAC3AD" w:rsidR="00803D1D" w:rsidRPr="008C178F" w:rsidRDefault="00AD2899" w:rsidP="008C178F">
      <w:pPr>
        <w:pStyle w:val="ListParagraph"/>
        <w:numPr>
          <w:ilvl w:val="0"/>
          <w:numId w:val="2"/>
        </w:numPr>
        <w:spacing w:after="200" w:line="247" w:lineRule="auto"/>
        <w:contextualSpacing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Does</w:t>
      </w:r>
      <w:r w:rsidRPr="00660C8A">
        <w:rPr>
          <w:rFonts w:asciiTheme="majorBidi" w:hAnsiTheme="majorBidi" w:cstheme="majorBidi"/>
          <w:i/>
          <w:iCs/>
        </w:rPr>
        <w:t xml:space="preserve"> </w:t>
      </w:r>
      <w:r w:rsidR="00803D1D" w:rsidRPr="00660C8A">
        <w:rPr>
          <w:rFonts w:asciiTheme="majorBidi" w:hAnsiTheme="majorBidi" w:cstheme="majorBidi"/>
          <w:i/>
          <w:iCs/>
        </w:rPr>
        <w:t>the proposed class include at least some works protected by copyright</w:t>
      </w:r>
      <w:r>
        <w:rPr>
          <w:rFonts w:asciiTheme="majorBidi" w:hAnsiTheme="majorBidi" w:cstheme="majorBidi"/>
          <w:i/>
          <w:iCs/>
        </w:rPr>
        <w:t>?</w:t>
      </w:r>
    </w:p>
    <w:p w14:paraId="096BBF03" w14:textId="1F1B47DF" w:rsidR="00803D1D" w:rsidRPr="008C178F" w:rsidRDefault="00AD2899" w:rsidP="008C178F">
      <w:pPr>
        <w:pStyle w:val="ListParagraph"/>
        <w:numPr>
          <w:ilvl w:val="0"/>
          <w:numId w:val="2"/>
        </w:numPr>
        <w:spacing w:after="200" w:line="247" w:lineRule="auto"/>
        <w:contextualSpacing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Are</w:t>
      </w:r>
      <w:r w:rsidRPr="00660C8A">
        <w:rPr>
          <w:rFonts w:asciiTheme="majorBidi" w:hAnsiTheme="majorBidi" w:cstheme="majorBidi"/>
          <w:i/>
          <w:iCs/>
        </w:rPr>
        <w:t xml:space="preserve"> </w:t>
      </w:r>
      <w:r w:rsidR="00C91A19">
        <w:rPr>
          <w:rFonts w:asciiTheme="majorBidi" w:hAnsiTheme="majorBidi" w:cstheme="majorBidi"/>
          <w:i/>
          <w:iCs/>
        </w:rPr>
        <w:t xml:space="preserve">the </w:t>
      </w:r>
      <w:r w:rsidR="00803D1D" w:rsidRPr="00660C8A">
        <w:rPr>
          <w:rFonts w:asciiTheme="majorBidi" w:hAnsiTheme="majorBidi" w:cstheme="majorBidi"/>
          <w:i/>
          <w:iCs/>
        </w:rPr>
        <w:t xml:space="preserve">uses at issue </w:t>
      </w:r>
      <w:r>
        <w:rPr>
          <w:rFonts w:asciiTheme="majorBidi" w:hAnsiTheme="majorBidi" w:cstheme="majorBidi"/>
          <w:i/>
          <w:iCs/>
        </w:rPr>
        <w:t>likely</w:t>
      </w:r>
      <w:r w:rsidRPr="00660C8A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803D1D" w:rsidRPr="00660C8A">
        <w:rPr>
          <w:rFonts w:asciiTheme="majorBidi" w:hAnsiTheme="majorBidi" w:cstheme="majorBidi"/>
          <w:i/>
          <w:iCs/>
        </w:rPr>
        <w:t>noninfringing</w:t>
      </w:r>
      <w:proofErr w:type="spellEnd"/>
      <w:r w:rsidR="00803D1D" w:rsidRPr="00660C8A">
        <w:rPr>
          <w:rFonts w:asciiTheme="majorBidi" w:hAnsiTheme="majorBidi" w:cstheme="majorBidi"/>
          <w:i/>
          <w:iCs/>
        </w:rPr>
        <w:t xml:space="preserve"> under </w:t>
      </w:r>
      <w:r w:rsidR="00A01DA1">
        <w:rPr>
          <w:rFonts w:asciiTheme="majorBidi" w:hAnsiTheme="majorBidi" w:cstheme="majorBidi"/>
          <w:i/>
          <w:iCs/>
        </w:rPr>
        <w:t>T</w:t>
      </w:r>
      <w:r w:rsidR="00803D1D" w:rsidRPr="00660C8A">
        <w:rPr>
          <w:rFonts w:asciiTheme="majorBidi" w:hAnsiTheme="majorBidi" w:cstheme="majorBidi"/>
          <w:i/>
          <w:iCs/>
        </w:rPr>
        <w:t>itle 17</w:t>
      </w:r>
      <w:r>
        <w:rPr>
          <w:rFonts w:asciiTheme="majorBidi" w:hAnsiTheme="majorBidi" w:cstheme="majorBidi"/>
          <w:i/>
          <w:iCs/>
        </w:rPr>
        <w:t>?</w:t>
      </w:r>
    </w:p>
    <w:p w14:paraId="7F0D1AEF" w14:textId="420D53CA" w:rsidR="007F3321" w:rsidRDefault="007F3321" w:rsidP="008C178F">
      <w:pPr>
        <w:pStyle w:val="ListParagraph"/>
        <w:numPr>
          <w:ilvl w:val="0"/>
          <w:numId w:val="2"/>
        </w:numPr>
        <w:spacing w:after="200" w:line="247" w:lineRule="auto"/>
        <w:contextualSpacing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 xml:space="preserve">Are users currently, or likely to be, adversely affected in their ability to make such </w:t>
      </w:r>
      <w:proofErr w:type="spellStart"/>
      <w:r>
        <w:rPr>
          <w:rFonts w:asciiTheme="majorBidi" w:hAnsiTheme="majorBidi" w:cstheme="majorBidi"/>
          <w:i/>
          <w:iCs/>
        </w:rPr>
        <w:t>noninfringing</w:t>
      </w:r>
      <w:proofErr w:type="spellEnd"/>
      <w:r>
        <w:rPr>
          <w:rFonts w:asciiTheme="majorBidi" w:hAnsiTheme="majorBidi" w:cstheme="majorBidi"/>
          <w:i/>
          <w:iCs/>
        </w:rPr>
        <w:t xml:space="preserve"> uses during the next three years?</w:t>
      </w:r>
      <w:r w:rsidR="00803D1D" w:rsidRPr="00660C8A">
        <w:rPr>
          <w:rFonts w:asciiTheme="majorBidi" w:hAnsiTheme="majorBidi" w:cstheme="majorBidi"/>
          <w:i/>
          <w:iCs/>
        </w:rPr>
        <w:t xml:space="preserve"> </w:t>
      </w:r>
    </w:p>
    <w:p w14:paraId="54041E8A" w14:textId="0EAF8850" w:rsidR="00803D1D" w:rsidRPr="008C178F" w:rsidRDefault="00803D1D" w:rsidP="003D6D0B">
      <w:pPr>
        <w:pStyle w:val="ListParagraph"/>
        <w:numPr>
          <w:ilvl w:val="1"/>
          <w:numId w:val="2"/>
        </w:numPr>
        <w:spacing w:after="200" w:line="247" w:lineRule="auto"/>
        <w:contextualSpacing w:val="0"/>
        <w:rPr>
          <w:rFonts w:asciiTheme="majorBidi" w:hAnsiTheme="majorBidi" w:cstheme="majorBidi"/>
          <w:i/>
          <w:iCs/>
        </w:rPr>
      </w:pPr>
      <w:r w:rsidRPr="00660C8A">
        <w:rPr>
          <w:rFonts w:asciiTheme="majorBidi" w:hAnsiTheme="majorBidi" w:cstheme="majorBidi"/>
          <w:i/>
          <w:iCs/>
        </w:rPr>
        <w:t>Di</w:t>
      </w:r>
      <w:r w:rsidR="00A3420F">
        <w:rPr>
          <w:rFonts w:asciiTheme="majorBidi" w:hAnsiTheme="majorBidi" w:cstheme="majorBidi"/>
          <w:i/>
          <w:iCs/>
        </w:rPr>
        <w:t xml:space="preserve">scussion of this element should </w:t>
      </w:r>
      <w:r w:rsidRPr="00660C8A">
        <w:rPr>
          <w:rFonts w:asciiTheme="majorBidi" w:hAnsiTheme="majorBidi" w:cstheme="majorBidi"/>
          <w:i/>
          <w:iCs/>
        </w:rPr>
        <w:t>include an evaluation of section 1201(a)(1)(C)’s five statutory factors: (</w:t>
      </w:r>
      <w:proofErr w:type="spellStart"/>
      <w:r w:rsidRPr="00660C8A">
        <w:rPr>
          <w:rFonts w:asciiTheme="majorBidi" w:hAnsiTheme="majorBidi" w:cstheme="majorBidi"/>
          <w:i/>
          <w:iCs/>
        </w:rPr>
        <w:t>i</w:t>
      </w:r>
      <w:proofErr w:type="spellEnd"/>
      <w:r w:rsidRPr="00660C8A">
        <w:rPr>
          <w:rFonts w:asciiTheme="majorBidi" w:hAnsiTheme="majorBidi" w:cstheme="majorBidi"/>
          <w:i/>
          <w:iCs/>
        </w:rPr>
        <w:t>) the availab</w:t>
      </w:r>
      <w:r w:rsidR="00A3420F">
        <w:rPr>
          <w:rFonts w:asciiTheme="majorBidi" w:hAnsiTheme="majorBidi" w:cstheme="majorBidi"/>
          <w:i/>
          <w:iCs/>
        </w:rPr>
        <w:t xml:space="preserve">ility </w:t>
      </w:r>
      <w:r w:rsidRPr="00660C8A">
        <w:rPr>
          <w:rFonts w:asciiTheme="majorBidi" w:hAnsiTheme="majorBidi" w:cstheme="majorBidi"/>
          <w:i/>
          <w:iCs/>
        </w:rPr>
        <w:t>for use of copyrighted works; (ii) the availability for use o</w:t>
      </w:r>
      <w:r w:rsidR="00A3420F">
        <w:rPr>
          <w:rFonts w:asciiTheme="majorBidi" w:hAnsiTheme="majorBidi" w:cstheme="majorBidi"/>
          <w:i/>
          <w:iCs/>
        </w:rPr>
        <w:t xml:space="preserve">f works for nonprofit archival, </w:t>
      </w:r>
      <w:r w:rsidRPr="00660C8A">
        <w:rPr>
          <w:rFonts w:asciiTheme="majorBidi" w:hAnsiTheme="majorBidi" w:cstheme="majorBidi"/>
          <w:i/>
          <w:iCs/>
        </w:rPr>
        <w:t>preservation, and educational purposes; (iii) the imp</w:t>
      </w:r>
      <w:r w:rsidR="00A3420F">
        <w:rPr>
          <w:rFonts w:asciiTheme="majorBidi" w:hAnsiTheme="majorBidi" w:cstheme="majorBidi"/>
          <w:i/>
          <w:iCs/>
        </w:rPr>
        <w:t xml:space="preserve">act that the prohibition on the </w:t>
      </w:r>
      <w:r w:rsidRPr="00660C8A">
        <w:rPr>
          <w:rFonts w:asciiTheme="majorBidi" w:hAnsiTheme="majorBidi" w:cstheme="majorBidi"/>
          <w:i/>
          <w:iCs/>
        </w:rPr>
        <w:t>circumvention of technological measures applied to copyrighted works has</w:t>
      </w:r>
      <w:r w:rsidR="00A3420F">
        <w:rPr>
          <w:rFonts w:asciiTheme="majorBidi" w:hAnsiTheme="majorBidi" w:cstheme="majorBidi"/>
          <w:i/>
          <w:iCs/>
        </w:rPr>
        <w:t xml:space="preserve"> on criticism, </w:t>
      </w:r>
      <w:r w:rsidRPr="00660C8A">
        <w:rPr>
          <w:rFonts w:asciiTheme="majorBidi" w:hAnsiTheme="majorBidi" w:cstheme="majorBidi"/>
          <w:i/>
          <w:iCs/>
        </w:rPr>
        <w:t xml:space="preserve">comment, news reporting, teaching, scholarship, </w:t>
      </w:r>
      <w:r w:rsidR="00A3420F">
        <w:rPr>
          <w:rFonts w:asciiTheme="majorBidi" w:hAnsiTheme="majorBidi" w:cstheme="majorBidi"/>
          <w:i/>
          <w:iCs/>
        </w:rPr>
        <w:t xml:space="preserve">or research; (iv) the effect of </w:t>
      </w:r>
      <w:r w:rsidRPr="00660C8A">
        <w:rPr>
          <w:rFonts w:asciiTheme="majorBidi" w:hAnsiTheme="majorBidi" w:cstheme="majorBidi"/>
          <w:i/>
          <w:iCs/>
        </w:rPr>
        <w:t>circumvention of technological measures on the mar</w:t>
      </w:r>
      <w:r w:rsidR="00A3420F">
        <w:rPr>
          <w:rFonts w:asciiTheme="majorBidi" w:hAnsiTheme="majorBidi" w:cstheme="majorBidi"/>
          <w:i/>
          <w:iCs/>
        </w:rPr>
        <w:t xml:space="preserve">ket for or value of copyrighted </w:t>
      </w:r>
      <w:r w:rsidRPr="00660C8A">
        <w:rPr>
          <w:rFonts w:asciiTheme="majorBidi" w:hAnsiTheme="majorBidi" w:cstheme="majorBidi"/>
          <w:i/>
          <w:iCs/>
        </w:rPr>
        <w:t>works; and (v) such other factors as the Librarian considers appropriate.</w:t>
      </w:r>
    </w:p>
    <w:p w14:paraId="537B3EC0" w14:textId="7EE1AEA0" w:rsidR="00803D1D" w:rsidRPr="008C178F" w:rsidRDefault="007F3321" w:rsidP="008C178F">
      <w:pPr>
        <w:pStyle w:val="ListParagraph"/>
        <w:numPr>
          <w:ilvl w:val="0"/>
          <w:numId w:val="2"/>
        </w:numPr>
        <w:spacing w:after="200" w:line="247" w:lineRule="auto"/>
        <w:contextualSpacing w:val="0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</w:rPr>
        <w:t>Is the statutory prohibition on circumventing access controls the cause of the adverse effects?</w:t>
      </w:r>
    </w:p>
    <w:p w14:paraId="3D93DC7D" w14:textId="77777777" w:rsidR="00A3420F" w:rsidRDefault="00803D1D" w:rsidP="00A3420F">
      <w:pPr>
        <w:spacing w:after="200" w:line="247" w:lineRule="auto"/>
        <w:rPr>
          <w:rFonts w:asciiTheme="majorBidi" w:hAnsiTheme="majorBidi" w:cstheme="majorBidi"/>
          <w:i/>
          <w:iCs/>
        </w:rPr>
      </w:pPr>
      <w:r w:rsidRPr="00660C8A">
        <w:rPr>
          <w:rFonts w:asciiTheme="majorBidi" w:hAnsiTheme="majorBidi" w:cstheme="majorBidi"/>
          <w:i/>
          <w:iCs/>
        </w:rPr>
        <w:t>This section should identify all statutory provisions, case law, a</w:t>
      </w:r>
      <w:r w:rsidR="00A3420F">
        <w:rPr>
          <w:rFonts w:asciiTheme="majorBidi" w:hAnsiTheme="majorBidi" w:cstheme="majorBidi"/>
          <w:i/>
          <w:iCs/>
        </w:rPr>
        <w:t xml:space="preserve">nd/or other legal authority the </w:t>
      </w:r>
      <w:r w:rsidRPr="00660C8A">
        <w:rPr>
          <w:rFonts w:asciiTheme="majorBidi" w:hAnsiTheme="majorBidi" w:cstheme="majorBidi"/>
          <w:i/>
          <w:iCs/>
        </w:rPr>
        <w:t>commenter wishes the Office to consider in connection with</w:t>
      </w:r>
      <w:r w:rsidR="00A3420F">
        <w:rPr>
          <w:rFonts w:asciiTheme="majorBidi" w:hAnsiTheme="majorBidi" w:cstheme="majorBidi"/>
          <w:i/>
          <w:iCs/>
        </w:rPr>
        <w:t xml:space="preserve"> the proposed class. Commenters </w:t>
      </w:r>
      <w:r w:rsidRPr="00660C8A">
        <w:rPr>
          <w:rFonts w:asciiTheme="majorBidi" w:hAnsiTheme="majorBidi" w:cstheme="majorBidi"/>
          <w:i/>
          <w:iCs/>
        </w:rPr>
        <w:t>should also provide an evidentiary basis to support their arg</w:t>
      </w:r>
      <w:r w:rsidR="00A3420F">
        <w:rPr>
          <w:rFonts w:asciiTheme="majorBidi" w:hAnsiTheme="majorBidi" w:cstheme="majorBidi"/>
          <w:i/>
          <w:iCs/>
        </w:rPr>
        <w:t xml:space="preserve">uments, including discussion or </w:t>
      </w:r>
      <w:r w:rsidRPr="00660C8A">
        <w:rPr>
          <w:rFonts w:asciiTheme="majorBidi" w:hAnsiTheme="majorBidi" w:cstheme="majorBidi"/>
          <w:i/>
          <w:iCs/>
        </w:rPr>
        <w:t xml:space="preserve">refutation of specific examples of adverse effects on </w:t>
      </w:r>
      <w:proofErr w:type="spellStart"/>
      <w:r w:rsidRPr="00660C8A">
        <w:rPr>
          <w:rFonts w:asciiTheme="majorBidi" w:hAnsiTheme="majorBidi" w:cstheme="majorBidi"/>
          <w:i/>
          <w:iCs/>
        </w:rPr>
        <w:t>noninfringing</w:t>
      </w:r>
      <w:proofErr w:type="spellEnd"/>
      <w:r w:rsidRPr="00660C8A">
        <w:rPr>
          <w:rFonts w:asciiTheme="majorBidi" w:hAnsiTheme="majorBidi" w:cstheme="majorBidi"/>
          <w:i/>
          <w:iCs/>
        </w:rPr>
        <w:t xml:space="preserve"> u</w:t>
      </w:r>
      <w:r w:rsidR="00A3420F">
        <w:rPr>
          <w:rFonts w:asciiTheme="majorBidi" w:hAnsiTheme="majorBidi" w:cstheme="majorBidi"/>
          <w:i/>
          <w:iCs/>
        </w:rPr>
        <w:t xml:space="preserve">ses and, if available, relevant </w:t>
      </w:r>
      <w:r w:rsidRPr="00660C8A">
        <w:rPr>
          <w:rFonts w:asciiTheme="majorBidi" w:hAnsiTheme="majorBidi" w:cstheme="majorBidi"/>
          <w:i/>
          <w:iCs/>
        </w:rPr>
        <w:t xml:space="preserve">documentary and/or multimedia evidence. </w:t>
      </w:r>
    </w:p>
    <w:p w14:paraId="3F846B43" w14:textId="77777777" w:rsidR="00A3420F" w:rsidRDefault="00803D1D" w:rsidP="00A3420F">
      <w:pPr>
        <w:spacing w:after="200" w:line="247" w:lineRule="auto"/>
        <w:rPr>
          <w:rFonts w:asciiTheme="majorBidi" w:hAnsiTheme="majorBidi" w:cstheme="majorBidi"/>
          <w:i/>
          <w:iCs/>
        </w:rPr>
      </w:pPr>
      <w:r w:rsidRPr="00660C8A">
        <w:rPr>
          <w:rFonts w:asciiTheme="majorBidi" w:hAnsiTheme="majorBidi" w:cstheme="majorBidi"/>
          <w:i/>
          <w:iCs/>
        </w:rPr>
        <w:t>Commenters should demonstrate, or refute, that the asserted adve</w:t>
      </w:r>
      <w:r w:rsidR="00A3420F">
        <w:rPr>
          <w:rFonts w:asciiTheme="majorBidi" w:hAnsiTheme="majorBidi" w:cstheme="majorBidi"/>
          <w:i/>
          <w:iCs/>
        </w:rPr>
        <w:t xml:space="preserve">rse effects are real, tangible, </w:t>
      </w:r>
      <w:r w:rsidRPr="00660C8A">
        <w:rPr>
          <w:rFonts w:asciiTheme="majorBidi" w:hAnsiTheme="majorBidi" w:cstheme="majorBidi"/>
          <w:i/>
          <w:iCs/>
        </w:rPr>
        <w:t>and concrete, and not merely hypothetical, theoretical, or sp</w:t>
      </w:r>
      <w:r w:rsidR="00A3420F">
        <w:rPr>
          <w:rFonts w:asciiTheme="majorBidi" w:hAnsiTheme="majorBidi" w:cstheme="majorBidi"/>
          <w:i/>
          <w:iCs/>
        </w:rPr>
        <w:t xml:space="preserve">eculative—that is, they are not </w:t>
      </w:r>
      <w:r w:rsidRPr="00660C8A">
        <w:rPr>
          <w:rFonts w:asciiTheme="majorBidi" w:hAnsiTheme="majorBidi" w:cstheme="majorBidi"/>
          <w:i/>
          <w:iCs/>
        </w:rPr>
        <w:t>merely possible, but probable. This discussion should i</w:t>
      </w:r>
      <w:r w:rsidR="00A3420F">
        <w:rPr>
          <w:rFonts w:asciiTheme="majorBidi" w:hAnsiTheme="majorBidi" w:cstheme="majorBidi"/>
          <w:i/>
          <w:iCs/>
        </w:rPr>
        <w:t xml:space="preserve">nclude an evaluation of section </w:t>
      </w:r>
      <w:r w:rsidRPr="00660C8A">
        <w:rPr>
          <w:rFonts w:asciiTheme="majorBidi" w:hAnsiTheme="majorBidi" w:cstheme="majorBidi"/>
          <w:i/>
          <w:iCs/>
        </w:rPr>
        <w:t>1201(a)(1)(C)’s five statutory factors. For example, in analyz</w:t>
      </w:r>
      <w:r w:rsidR="00A3420F">
        <w:rPr>
          <w:rFonts w:asciiTheme="majorBidi" w:hAnsiTheme="majorBidi" w:cstheme="majorBidi"/>
          <w:i/>
          <w:iCs/>
        </w:rPr>
        <w:t xml:space="preserve">ing the first statutory factor, </w:t>
      </w:r>
      <w:r w:rsidRPr="00660C8A">
        <w:rPr>
          <w:rFonts w:asciiTheme="majorBidi" w:hAnsiTheme="majorBidi" w:cstheme="majorBidi"/>
          <w:i/>
          <w:iCs/>
        </w:rPr>
        <w:t>commenters should examine whether there are any potential altern</w:t>
      </w:r>
      <w:r w:rsidR="00A3420F">
        <w:rPr>
          <w:rFonts w:asciiTheme="majorBidi" w:hAnsiTheme="majorBidi" w:cstheme="majorBidi"/>
          <w:i/>
          <w:iCs/>
        </w:rPr>
        <w:t xml:space="preserve">atives that permit the asserted </w:t>
      </w:r>
      <w:proofErr w:type="spellStart"/>
      <w:r w:rsidRPr="00660C8A">
        <w:rPr>
          <w:rFonts w:asciiTheme="majorBidi" w:hAnsiTheme="majorBidi" w:cstheme="majorBidi"/>
          <w:i/>
          <w:iCs/>
        </w:rPr>
        <w:t>noninfringing</w:t>
      </w:r>
      <w:proofErr w:type="spellEnd"/>
      <w:r w:rsidRPr="00660C8A">
        <w:rPr>
          <w:rFonts w:asciiTheme="majorBidi" w:hAnsiTheme="majorBidi" w:cstheme="majorBidi"/>
          <w:i/>
          <w:iCs/>
        </w:rPr>
        <w:t xml:space="preserve"> use(s) without the need for circumvention, and whet</w:t>
      </w:r>
      <w:r w:rsidR="00A3420F">
        <w:rPr>
          <w:rFonts w:asciiTheme="majorBidi" w:hAnsiTheme="majorBidi" w:cstheme="majorBidi"/>
          <w:i/>
          <w:iCs/>
        </w:rPr>
        <w:t xml:space="preserve">her such potential alternatives </w:t>
      </w:r>
      <w:r w:rsidRPr="00660C8A">
        <w:rPr>
          <w:rFonts w:asciiTheme="majorBidi" w:hAnsiTheme="majorBidi" w:cstheme="majorBidi"/>
          <w:i/>
          <w:iCs/>
        </w:rPr>
        <w:t xml:space="preserve">are realistic options. </w:t>
      </w:r>
    </w:p>
    <w:p w14:paraId="60C107DB" w14:textId="77777777" w:rsidR="00A3420F" w:rsidRDefault="0007041C" w:rsidP="00A3420F">
      <w:pPr>
        <w:spacing w:after="200" w:line="247" w:lineRule="auto"/>
        <w:rPr>
          <w:rFonts w:asciiTheme="majorBidi" w:hAnsiTheme="majorBidi" w:cstheme="majorBidi"/>
          <w:i/>
          <w:iCs/>
        </w:rPr>
      </w:pPr>
      <w:r w:rsidRPr="00660C8A">
        <w:rPr>
          <w:rFonts w:asciiTheme="majorBidi" w:hAnsiTheme="majorBidi" w:cstheme="majorBidi"/>
          <w:b/>
          <w:smallCaps/>
        </w:rPr>
        <w:t>Documentary Evidence</w:t>
      </w:r>
    </w:p>
    <w:p w14:paraId="6DF61CE1" w14:textId="566C58EC" w:rsidR="00A824CA" w:rsidRPr="00660C8A" w:rsidRDefault="00803D1D" w:rsidP="00E96AE0">
      <w:pPr>
        <w:spacing w:after="200" w:line="247" w:lineRule="auto"/>
        <w:rPr>
          <w:rFonts w:asciiTheme="majorBidi" w:hAnsiTheme="majorBidi" w:cstheme="majorBidi"/>
          <w:i/>
          <w:iCs/>
        </w:rPr>
      </w:pPr>
      <w:r w:rsidRPr="00660C8A">
        <w:rPr>
          <w:rFonts w:asciiTheme="majorBidi" w:hAnsiTheme="majorBidi" w:cstheme="majorBidi"/>
          <w:i/>
          <w:iCs/>
        </w:rPr>
        <w:t>Commenters are encouraged to submit documentary evidenc</w:t>
      </w:r>
      <w:r w:rsidR="00A3420F">
        <w:rPr>
          <w:rFonts w:asciiTheme="majorBidi" w:hAnsiTheme="majorBidi" w:cstheme="majorBidi"/>
          <w:i/>
          <w:iCs/>
        </w:rPr>
        <w:t xml:space="preserve">e to support their arguments or </w:t>
      </w:r>
      <w:r w:rsidRPr="00660C8A">
        <w:rPr>
          <w:rFonts w:asciiTheme="majorBidi" w:hAnsiTheme="majorBidi" w:cstheme="majorBidi"/>
          <w:i/>
          <w:iCs/>
        </w:rPr>
        <w:t>illustrate pertinent points concerning the proposed exemption</w:t>
      </w:r>
      <w:r w:rsidR="00A3420F">
        <w:rPr>
          <w:rFonts w:asciiTheme="majorBidi" w:hAnsiTheme="majorBidi" w:cstheme="majorBidi"/>
          <w:i/>
          <w:iCs/>
        </w:rPr>
        <w:t xml:space="preserve">. Any such documentary evidence </w:t>
      </w:r>
      <w:r w:rsidRPr="00660C8A">
        <w:rPr>
          <w:rFonts w:asciiTheme="majorBidi" w:hAnsiTheme="majorBidi" w:cstheme="majorBidi"/>
          <w:i/>
          <w:iCs/>
        </w:rPr>
        <w:t>should be attached to this form and uploaded as one do</w:t>
      </w:r>
      <w:r w:rsidR="00E96AE0">
        <w:rPr>
          <w:rFonts w:asciiTheme="majorBidi" w:hAnsiTheme="majorBidi" w:cstheme="majorBidi"/>
          <w:i/>
          <w:iCs/>
        </w:rPr>
        <w:t xml:space="preserve">cument through </w:t>
      </w:r>
      <w:r w:rsidR="00A01DA1">
        <w:rPr>
          <w:rFonts w:asciiTheme="majorBidi" w:hAnsiTheme="majorBidi" w:cstheme="majorBidi"/>
          <w:i/>
          <w:iCs/>
        </w:rPr>
        <w:t>R</w:t>
      </w:r>
      <w:r w:rsidR="00E96AE0">
        <w:rPr>
          <w:rFonts w:asciiTheme="majorBidi" w:hAnsiTheme="majorBidi" w:cstheme="majorBidi"/>
          <w:i/>
          <w:iCs/>
        </w:rPr>
        <w:t>egulations.gov</w:t>
      </w:r>
      <w:r w:rsidR="0007041C" w:rsidRPr="00660C8A">
        <w:rPr>
          <w:rFonts w:asciiTheme="majorBidi" w:hAnsiTheme="majorBidi" w:cstheme="majorBidi"/>
          <w:i/>
          <w:iCs/>
        </w:rPr>
        <w:t>.</w:t>
      </w:r>
    </w:p>
    <w:sectPr w:rsidR="00A824CA" w:rsidRPr="00660C8A" w:rsidSect="00470CC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CE19" w14:textId="77777777" w:rsidR="002A210A" w:rsidRDefault="002A210A" w:rsidP="008A7F67">
      <w:r>
        <w:separator/>
      </w:r>
    </w:p>
  </w:endnote>
  <w:endnote w:type="continuationSeparator" w:id="0">
    <w:p w14:paraId="77C1DDD9" w14:textId="77777777" w:rsidR="002A210A" w:rsidRDefault="002A210A" w:rsidP="008A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MixOsF Bold">
    <w:altName w:val="TheMixOsF"/>
    <w:panose1 w:val="020B0702050302020203"/>
    <w:charset w:val="00"/>
    <w:family w:val="swiss"/>
    <w:pitch w:val="variable"/>
    <w:sig w:usb0="A000007F" w:usb1="5000F0F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455906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50E636D5" w14:textId="2D3F213E" w:rsidR="00362443" w:rsidRPr="00362443" w:rsidRDefault="00362443">
        <w:pPr>
          <w:pStyle w:val="Footer"/>
          <w:jc w:val="center"/>
          <w:rPr>
            <w:rFonts w:asciiTheme="majorBidi" w:hAnsiTheme="majorBidi" w:cstheme="majorBidi"/>
          </w:rPr>
        </w:pPr>
        <w:r w:rsidRPr="00362443">
          <w:rPr>
            <w:rFonts w:asciiTheme="majorBidi" w:hAnsiTheme="majorBidi" w:cstheme="majorBidi"/>
          </w:rPr>
          <w:fldChar w:fldCharType="begin"/>
        </w:r>
        <w:r w:rsidRPr="00362443">
          <w:rPr>
            <w:rFonts w:asciiTheme="majorBidi" w:hAnsiTheme="majorBidi" w:cstheme="majorBidi"/>
          </w:rPr>
          <w:instrText xml:space="preserve"> PAGE   \* MERGEFORMAT </w:instrText>
        </w:r>
        <w:r w:rsidRPr="00362443">
          <w:rPr>
            <w:rFonts w:asciiTheme="majorBidi" w:hAnsiTheme="majorBidi" w:cstheme="majorBidi"/>
          </w:rPr>
          <w:fldChar w:fldCharType="separate"/>
        </w:r>
        <w:r w:rsidR="0045138A">
          <w:rPr>
            <w:rFonts w:asciiTheme="majorBidi" w:hAnsiTheme="majorBidi" w:cstheme="majorBidi"/>
            <w:noProof/>
          </w:rPr>
          <w:t>2</w:t>
        </w:r>
        <w:r w:rsidRPr="00362443">
          <w:rPr>
            <w:rFonts w:asciiTheme="majorBidi" w:hAnsiTheme="majorBidi" w:cstheme="majorBidi"/>
            <w:noProof/>
          </w:rPr>
          <w:fldChar w:fldCharType="end"/>
        </w:r>
      </w:p>
    </w:sdtContent>
  </w:sdt>
  <w:p w14:paraId="3B6B00BE" w14:textId="77777777" w:rsidR="00362443" w:rsidRDefault="00362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8094" w14:textId="758A4BA0" w:rsidR="00470CCD" w:rsidRDefault="00E03658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89273C7" wp14:editId="1957B566">
          <wp:simplePos x="0" y="0"/>
          <wp:positionH relativeFrom="column">
            <wp:posOffset>-541313</wp:posOffset>
          </wp:positionH>
          <wp:positionV relativeFrom="page">
            <wp:posOffset>8577580</wp:posOffset>
          </wp:positionV>
          <wp:extent cx="7086600" cy="1143000"/>
          <wp:effectExtent l="0" t="0" r="0" b="0"/>
          <wp:wrapTopAndBottom/>
          <wp:docPr id="4441836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4183669" name="Picture 4441836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0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A1E3" w14:textId="77777777" w:rsidR="002A210A" w:rsidRDefault="002A210A" w:rsidP="008A7F67">
      <w:r>
        <w:separator/>
      </w:r>
    </w:p>
  </w:footnote>
  <w:footnote w:type="continuationSeparator" w:id="0">
    <w:p w14:paraId="495E963D" w14:textId="77777777" w:rsidR="002A210A" w:rsidRDefault="002A210A" w:rsidP="008A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B081B" w14:textId="016618D3" w:rsidR="009F50A7" w:rsidRPr="00470CCD" w:rsidRDefault="009F50A7" w:rsidP="009F50A7">
    <w:pPr>
      <w:pStyle w:val="Header"/>
      <w:rPr>
        <w:rFonts w:asciiTheme="majorBidi" w:hAnsiTheme="majorBidi" w:cstheme="majorBidi"/>
        <w:sz w:val="20"/>
        <w:szCs w:val="20"/>
      </w:rPr>
    </w:pPr>
  </w:p>
  <w:p w14:paraId="30884A17" w14:textId="26CD2A8C" w:rsidR="003E4E5F" w:rsidRPr="00470CCD" w:rsidRDefault="003E4E5F" w:rsidP="009F50A7">
    <w:pPr>
      <w:pStyle w:val="Header"/>
      <w:rPr>
        <w:rFonts w:asciiTheme="majorBidi" w:hAnsiTheme="majorBidi" w:cstheme="majorBid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72D3" w14:textId="6B8FD5E8" w:rsidR="00470CCD" w:rsidRPr="00E96AE0" w:rsidRDefault="00E03658" w:rsidP="00E96AE0">
    <w:pPr>
      <w:pStyle w:val="Header"/>
      <w:tabs>
        <w:tab w:val="left" w:pos="2370"/>
      </w:tabs>
      <w:spacing w:after="120"/>
      <w:rPr>
        <w:rFonts w:asciiTheme="majorBidi" w:hAnsiTheme="majorBidi" w:cstheme="majorBidi"/>
        <w:i/>
        <w:iCs/>
        <w:sz w:val="20"/>
        <w:szCs w:val="20"/>
      </w:rPr>
    </w:pPr>
    <w:r w:rsidRPr="00470CCD">
      <w:rPr>
        <w:rFonts w:asciiTheme="majorBidi" w:hAnsiTheme="majorBidi" w:cstheme="majorBidi"/>
        <w:noProof/>
        <w:sz w:val="20"/>
        <w:szCs w:val="20"/>
        <w:lang w:eastAsia="zh-CN"/>
      </w:rPr>
      <w:drawing>
        <wp:anchor distT="0" distB="0" distL="114300" distR="114300" simplePos="0" relativeHeight="251662336" behindDoc="0" locked="0" layoutInCell="1" allowOverlap="1" wp14:anchorId="373AE60F" wp14:editId="3CF477E5">
          <wp:simplePos x="0" y="0"/>
          <wp:positionH relativeFrom="column">
            <wp:posOffset>-485775</wp:posOffset>
          </wp:positionH>
          <wp:positionV relativeFrom="page">
            <wp:posOffset>1038225</wp:posOffset>
          </wp:positionV>
          <wp:extent cx="4608830" cy="829945"/>
          <wp:effectExtent l="0" t="0" r="0" b="0"/>
          <wp:wrapTopAndBottom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ng comment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08830" cy="829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0CCD" w:rsidRPr="00470CCD">
      <w:rPr>
        <w:rFonts w:asciiTheme="majorBidi" w:hAnsiTheme="majorBidi" w:cstheme="majorBidi"/>
        <w:i/>
        <w:iCs/>
        <w:sz w:val="20"/>
        <w:szCs w:val="20"/>
      </w:rPr>
      <w:t>This is a Word document that allows users to type into the spaces belo</w:t>
    </w:r>
    <w:r w:rsidR="00E96AE0">
      <w:rPr>
        <w:rFonts w:asciiTheme="majorBidi" w:hAnsiTheme="majorBidi" w:cstheme="majorBidi"/>
        <w:i/>
        <w:iCs/>
        <w:sz w:val="20"/>
        <w:szCs w:val="20"/>
      </w:rPr>
      <w:t xml:space="preserve">w. The comment may be single-spaced </w:t>
    </w:r>
    <w:r w:rsidR="00470CCD" w:rsidRPr="00470CCD">
      <w:rPr>
        <w:rFonts w:asciiTheme="majorBidi" w:hAnsiTheme="majorBidi" w:cstheme="majorBidi"/>
        <w:i/>
        <w:iCs/>
        <w:sz w:val="20"/>
        <w:szCs w:val="20"/>
      </w:rPr>
      <w:t>but should be</w:t>
    </w:r>
    <w:r w:rsidR="00E96AE0">
      <w:rPr>
        <w:rFonts w:asciiTheme="majorBidi" w:hAnsiTheme="majorBidi" w:cstheme="majorBidi"/>
        <w:i/>
        <w:iCs/>
        <w:sz w:val="20"/>
        <w:szCs w:val="20"/>
      </w:rPr>
      <w:t xml:space="preserve"> in at least 12-point type</w:t>
    </w:r>
    <w:r w:rsidR="00470CCD" w:rsidRPr="00470CCD">
      <w:rPr>
        <w:rFonts w:asciiTheme="majorBidi" w:hAnsiTheme="majorBidi" w:cstheme="majorBidi"/>
        <w:i/>
        <w:iCs/>
        <w:sz w:val="20"/>
        <w:szCs w:val="20"/>
      </w:rPr>
      <w:t xml:space="preserve">. The italicized instructions on this template may be deleted.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73FEF"/>
    <w:multiLevelType w:val="hybridMultilevel"/>
    <w:tmpl w:val="DF3E0B20"/>
    <w:lvl w:ilvl="0" w:tplc="2A9C09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DACC650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621C68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82E1D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D649FA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F2AD9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D4626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CE2CF61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E3A77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" w15:restartNumberingAfterBreak="0">
    <w:nsid w:val="59857FAD"/>
    <w:multiLevelType w:val="hybridMultilevel"/>
    <w:tmpl w:val="ED2E9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A3018"/>
    <w:multiLevelType w:val="hybridMultilevel"/>
    <w:tmpl w:val="6C6AB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A5FDF"/>
    <w:multiLevelType w:val="hybridMultilevel"/>
    <w:tmpl w:val="92100BA0"/>
    <w:lvl w:ilvl="0" w:tplc="630C26A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672FB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852D4E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8464D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DCA66A0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1FEB2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3872EFD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54ACB4B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4970B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1453475998">
    <w:abstractNumId w:val="2"/>
  </w:num>
  <w:num w:numId="2" w16cid:durableId="447511681">
    <w:abstractNumId w:val="1"/>
  </w:num>
  <w:num w:numId="3" w16cid:durableId="298847369">
    <w:abstractNumId w:val="0"/>
  </w:num>
  <w:num w:numId="4" w16cid:durableId="756706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EED"/>
    <w:rsid w:val="000545DE"/>
    <w:rsid w:val="0007041C"/>
    <w:rsid w:val="00073B1D"/>
    <w:rsid w:val="00083A11"/>
    <w:rsid w:val="000A65E3"/>
    <w:rsid w:val="000C0A00"/>
    <w:rsid w:val="000F70B7"/>
    <w:rsid w:val="001B5627"/>
    <w:rsid w:val="001F1850"/>
    <w:rsid w:val="001F4C6C"/>
    <w:rsid w:val="00214AF7"/>
    <w:rsid w:val="00223647"/>
    <w:rsid w:val="00226E50"/>
    <w:rsid w:val="002A210A"/>
    <w:rsid w:val="002C1F50"/>
    <w:rsid w:val="002C3A06"/>
    <w:rsid w:val="002F6E2F"/>
    <w:rsid w:val="00362443"/>
    <w:rsid w:val="003D6D0B"/>
    <w:rsid w:val="003E4E5F"/>
    <w:rsid w:val="00407AEB"/>
    <w:rsid w:val="0045138A"/>
    <w:rsid w:val="00470CCD"/>
    <w:rsid w:val="004876BA"/>
    <w:rsid w:val="00532293"/>
    <w:rsid w:val="005337DE"/>
    <w:rsid w:val="00544FE0"/>
    <w:rsid w:val="0054688E"/>
    <w:rsid w:val="00575CBE"/>
    <w:rsid w:val="005772E8"/>
    <w:rsid w:val="00586267"/>
    <w:rsid w:val="005C13BE"/>
    <w:rsid w:val="005E2D40"/>
    <w:rsid w:val="0064659A"/>
    <w:rsid w:val="00654EED"/>
    <w:rsid w:val="00660C8A"/>
    <w:rsid w:val="006C40C2"/>
    <w:rsid w:val="00727814"/>
    <w:rsid w:val="007923FC"/>
    <w:rsid w:val="00795518"/>
    <w:rsid w:val="007B618D"/>
    <w:rsid w:val="007C215A"/>
    <w:rsid w:val="007C5FAB"/>
    <w:rsid w:val="007C79FA"/>
    <w:rsid w:val="007E123B"/>
    <w:rsid w:val="007F3321"/>
    <w:rsid w:val="00803D1D"/>
    <w:rsid w:val="00833624"/>
    <w:rsid w:val="008974AE"/>
    <w:rsid w:val="008A7F67"/>
    <w:rsid w:val="008B25B4"/>
    <w:rsid w:val="008C178F"/>
    <w:rsid w:val="008E3525"/>
    <w:rsid w:val="00910496"/>
    <w:rsid w:val="00916BCC"/>
    <w:rsid w:val="00920FC1"/>
    <w:rsid w:val="009A6105"/>
    <w:rsid w:val="009E0CEB"/>
    <w:rsid w:val="009F50A7"/>
    <w:rsid w:val="009F7A5F"/>
    <w:rsid w:val="00A01DA1"/>
    <w:rsid w:val="00A1733C"/>
    <w:rsid w:val="00A3420F"/>
    <w:rsid w:val="00A47D8E"/>
    <w:rsid w:val="00A70CF1"/>
    <w:rsid w:val="00A73B6C"/>
    <w:rsid w:val="00A824CA"/>
    <w:rsid w:val="00AD2899"/>
    <w:rsid w:val="00AD3636"/>
    <w:rsid w:val="00B32B68"/>
    <w:rsid w:val="00BA3E8A"/>
    <w:rsid w:val="00C07CE4"/>
    <w:rsid w:val="00C308DC"/>
    <w:rsid w:val="00C614D2"/>
    <w:rsid w:val="00C65DC4"/>
    <w:rsid w:val="00C67160"/>
    <w:rsid w:val="00C75745"/>
    <w:rsid w:val="00C91A19"/>
    <w:rsid w:val="00DD3271"/>
    <w:rsid w:val="00DD6817"/>
    <w:rsid w:val="00DE12A6"/>
    <w:rsid w:val="00E03658"/>
    <w:rsid w:val="00E47017"/>
    <w:rsid w:val="00E96AE0"/>
    <w:rsid w:val="00EC68F0"/>
    <w:rsid w:val="00EF610B"/>
    <w:rsid w:val="00F317FC"/>
    <w:rsid w:val="00F51973"/>
    <w:rsid w:val="00F572CB"/>
    <w:rsid w:val="00F7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801DD"/>
  <w14:defaultImageDpi w14:val="32767"/>
  <w15:docId w15:val="{7C795497-899E-4C58-A249-03C7677C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9E0CEB"/>
    <w:pPr>
      <w:spacing w:after="135"/>
    </w:pPr>
    <w:rPr>
      <w:rFonts w:ascii="TheMixOsF Bold" w:hAnsi="TheMixOsF Bold" w:cs="Times New Roman"/>
      <w:sz w:val="14"/>
      <w:szCs w:val="14"/>
    </w:rPr>
  </w:style>
  <w:style w:type="paragraph" w:customStyle="1" w:styleId="p2">
    <w:name w:val="p2"/>
    <w:basedOn w:val="Normal"/>
    <w:rsid w:val="009E0CEB"/>
    <w:pPr>
      <w:spacing w:after="68"/>
    </w:pPr>
    <w:rPr>
      <w:rFonts w:ascii="TheMixOsF Bold" w:hAnsi="TheMixOsF Bold" w:cs="Times New Roman"/>
      <w:sz w:val="14"/>
      <w:szCs w:val="14"/>
    </w:rPr>
  </w:style>
  <w:style w:type="paragraph" w:customStyle="1" w:styleId="p3">
    <w:name w:val="p3"/>
    <w:basedOn w:val="Normal"/>
    <w:rsid w:val="009E0CEB"/>
    <w:pPr>
      <w:spacing w:after="68"/>
    </w:pPr>
    <w:rPr>
      <w:rFonts w:ascii="TheMixOsF Bold" w:hAnsi="TheMixOsF Bold" w:cs="Times New Roman"/>
      <w:sz w:val="14"/>
      <w:szCs w:val="14"/>
    </w:rPr>
  </w:style>
  <w:style w:type="paragraph" w:customStyle="1" w:styleId="p4">
    <w:name w:val="p4"/>
    <w:basedOn w:val="Normal"/>
    <w:rsid w:val="009E0CEB"/>
    <w:pPr>
      <w:spacing w:after="135"/>
    </w:pPr>
    <w:rPr>
      <w:rFonts w:ascii="TheMixOsF Bold" w:hAnsi="TheMixOsF Bold" w:cs="Times New Roman"/>
      <w:sz w:val="18"/>
      <w:szCs w:val="18"/>
    </w:rPr>
  </w:style>
  <w:style w:type="character" w:customStyle="1" w:styleId="s1">
    <w:name w:val="s1"/>
    <w:basedOn w:val="DefaultParagraphFont"/>
    <w:rsid w:val="009E0CEB"/>
    <w:rPr>
      <w:u w:val="single"/>
    </w:rPr>
  </w:style>
  <w:style w:type="character" w:customStyle="1" w:styleId="s2">
    <w:name w:val="s2"/>
    <w:basedOn w:val="DefaultParagraphFont"/>
    <w:rsid w:val="009E0CEB"/>
    <w:rPr>
      <w:spacing w:val="14"/>
    </w:rPr>
  </w:style>
  <w:style w:type="character" w:customStyle="1" w:styleId="apple-converted-space">
    <w:name w:val="apple-converted-space"/>
    <w:basedOn w:val="DefaultParagraphFont"/>
    <w:rsid w:val="009E0CEB"/>
  </w:style>
  <w:style w:type="character" w:styleId="Hyperlink">
    <w:name w:val="Hyperlink"/>
    <w:basedOn w:val="DefaultParagraphFont"/>
    <w:uiPriority w:val="99"/>
    <w:unhideWhenUsed/>
    <w:rsid w:val="009E0CE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F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7F67"/>
  </w:style>
  <w:style w:type="paragraph" w:styleId="Footer">
    <w:name w:val="footer"/>
    <w:basedOn w:val="Normal"/>
    <w:link w:val="FooterChar"/>
    <w:uiPriority w:val="99"/>
    <w:unhideWhenUsed/>
    <w:rsid w:val="008A7F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F67"/>
  </w:style>
  <w:style w:type="paragraph" w:styleId="ListParagraph">
    <w:name w:val="List Paragraph"/>
    <w:basedOn w:val="Normal"/>
    <w:uiPriority w:val="34"/>
    <w:qFormat/>
    <w:rsid w:val="00803D1D"/>
    <w:pPr>
      <w:spacing w:line="480" w:lineRule="auto"/>
      <w:ind w:left="720"/>
      <w:contextualSpacing/>
    </w:pPr>
    <w:rPr>
      <w:rFonts w:ascii="Times New Roman" w:eastAsia="SimSun" w:hAnsi="Times New Roman" w:cs="Times New Roma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F31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1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17F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7AEB"/>
  </w:style>
  <w:style w:type="character" w:styleId="UnresolvedMention">
    <w:name w:val="Unresolved Mention"/>
    <w:basedOn w:val="DefaultParagraphFont"/>
    <w:uiPriority w:val="99"/>
    <w:semiHidden/>
    <w:unhideWhenUsed/>
    <w:rsid w:val="0005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pyright.gov/1201/202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E1D9669-A5EC-48F3-BA70-7630C6A61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Library Of Congress</Company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Murgolo, Stanley B.</cp:lastModifiedBy>
  <cp:revision>2</cp:revision>
  <cp:lastPrinted>2017-08-01T16:36:00Z</cp:lastPrinted>
  <dcterms:created xsi:type="dcterms:W3CDTF">2023-10-19T11:30:00Z</dcterms:created>
  <dcterms:modified xsi:type="dcterms:W3CDTF">2023-10-19T11:30:00Z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IFAA/76tAXMvzccmHJTRlWSCIj/wf8waDZW/R1nZMNRT8bTYMoaKCLYxxRTaisyKfyxxcBMNkCGF8yU2
Qrq44Xes3ttNw1AhZNPyzlXQQ6qeQPik3sRi5+s5Gju+i8qgOmFtzMDea64JGFRzGjBjD1dgl5bS
QGny/T4gpZyrQQ/lw5CfKisc1KVandaL8ZbEwoKCFJFL5ius3crIwzpa0n6PozfhsP/0u6DNQKCB
jY0cufyCFUGpEwYI6</vt:lpwstr>
  </property>
  <property fmtid="{D5CDD505-2E9C-101B-9397-08002B2CF9AE}" pid="3" name="MAIL_MSG_ID2">
    <vt:lpwstr>ERlzxCz6VYBGL3O0Jyl+GMvnGQF1RnbcXqVaVQH24Icy8MnNMSTE2pFgRE3
NdMMxu+VAArVDeOg</vt:lpwstr>
  </property>
  <property fmtid="{D5CDD505-2E9C-101B-9397-08002B2CF9AE}" pid="4" name="RESPONSE_SENDER_NAME">
    <vt:lpwstr>4AAA4Lxe55UJ0C9aqbmyg2aoADv3Zw4+p/LsrLnFSQJPUFDwrgoRyLSAig==</vt:lpwstr>
  </property>
  <property fmtid="{D5CDD505-2E9C-101B-9397-08002B2CF9AE}" pid="5" name="EMAIL_OWNER_ADDRESS">
    <vt:lpwstr>sAAAb0xRtPDW5Utp+03CAnXtx8K2dTijMbsTbd5Z7WSPVMw=</vt:lpwstr>
  </property>
</Properties>
</file>